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31A7" w14:textId="77777777" w:rsidR="008C53F2" w:rsidRDefault="008C53F2" w:rsidP="008C53F2">
      <w:pPr>
        <w:spacing w:line="360" w:lineRule="auto"/>
        <w:jc w:val="center"/>
        <w:outlineLvl w:val="0"/>
        <w:rPr>
          <w:rFonts w:ascii="方正小标宋简体" w:eastAsia="方正小标宋简体" w:hAnsi="方正小标宋简体" w:cs="方正小标宋简体"/>
          <w:color w:val="000000" w:themeColor="text1"/>
          <w:sz w:val="32"/>
          <w:szCs w:val="32"/>
        </w:rPr>
      </w:pPr>
      <w:bookmarkStart w:id="0" w:name="_Toc30571"/>
      <w:r>
        <w:rPr>
          <w:rFonts w:ascii="方正小标宋简体" w:eastAsia="方正小标宋简体" w:hAnsi="方正小标宋简体" w:cs="方正小标宋简体" w:hint="eastAsia"/>
          <w:color w:val="000000" w:themeColor="text1"/>
          <w:sz w:val="32"/>
          <w:szCs w:val="32"/>
        </w:rPr>
        <w:t>教育部 财政部</w:t>
      </w:r>
      <w:bookmarkEnd w:id="0"/>
    </w:p>
    <w:p w14:paraId="2660959B" w14:textId="77777777" w:rsidR="008C53F2" w:rsidRDefault="008C53F2" w:rsidP="008C53F2">
      <w:pPr>
        <w:spacing w:line="360" w:lineRule="auto"/>
        <w:outlineLvl w:val="0"/>
        <w:rPr>
          <w:rFonts w:ascii="方正小标宋简体" w:eastAsia="方正小标宋简体" w:hAnsi="方正小标宋简体" w:cs="方正小标宋简体"/>
          <w:color w:val="000000" w:themeColor="text1"/>
          <w:sz w:val="32"/>
          <w:szCs w:val="32"/>
        </w:rPr>
      </w:pPr>
      <w:bookmarkStart w:id="1" w:name="_Toc16286"/>
      <w:bookmarkStart w:id="2" w:name="_GoBack"/>
      <w:r>
        <w:rPr>
          <w:rFonts w:ascii="方正小标宋简体" w:eastAsia="方正小标宋简体" w:hAnsi="方正小标宋简体" w:cs="方正小标宋简体" w:hint="eastAsia"/>
          <w:color w:val="000000" w:themeColor="text1"/>
          <w:sz w:val="32"/>
          <w:szCs w:val="32"/>
        </w:rPr>
        <w:t>关于实施中国特色高水平高职学校和专业建设计划的意见</w:t>
      </w:r>
      <w:bookmarkEnd w:id="1"/>
    </w:p>
    <w:bookmarkEnd w:id="2"/>
    <w:p w14:paraId="62582F27" w14:textId="77777777" w:rsidR="008C53F2" w:rsidRDefault="008C53F2" w:rsidP="008C53F2">
      <w:pPr>
        <w:pStyle w:val="a7"/>
        <w:widowControl/>
        <w:spacing w:before="300" w:beforeAutospacing="0" w:afterAutospacing="0"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教职成〔2019〕5号</w:t>
      </w:r>
    </w:p>
    <w:p w14:paraId="6C15CED2"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各省、自治区、直辖市教育厅（教委）、财政厅（局），新疆生产建设兵团教育局、财政局：</w:t>
      </w:r>
    </w:p>
    <w:p w14:paraId="1BAC3E76"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为深入贯彻落实全国教育大会精神，落实《国家职业教育改革实施方案》，集中力量建设一批引领改革、支撑发展、中国特色、世界水平的高职学校和专业群，带动职业教育持续深化改革，强化内涵建设，实现高质量发展，现就实施中国特色高水平高职学校和专业建设计划（以下简称“双高计划”）提出如下意见。</w:t>
      </w:r>
    </w:p>
    <w:p w14:paraId="39E4E532" w14:textId="77777777" w:rsidR="008C53F2" w:rsidRDefault="008C53F2" w:rsidP="008C53F2">
      <w:pPr>
        <w:pStyle w:val="a7"/>
        <w:widowControl/>
        <w:shd w:val="clear" w:color="auto" w:fill="FFFFFF"/>
        <w:spacing w:beforeAutospacing="0" w:afterAutospacing="0" w:line="360" w:lineRule="auto"/>
        <w:outlineLvl w:val="0"/>
        <w:rPr>
          <w:rFonts w:ascii="仿宋_GB2312" w:eastAsia="仿宋_GB2312" w:hAnsi="仿宋_GB2312" w:cs="仿宋_GB2312"/>
          <w:color w:val="000000" w:themeColor="text1"/>
        </w:rPr>
      </w:pPr>
      <w:r>
        <w:rPr>
          <w:rStyle w:val="a8"/>
          <w:rFonts w:ascii="仿宋_GB2312" w:eastAsia="仿宋_GB2312" w:hAnsi="仿宋_GB2312" w:cs="仿宋_GB2312" w:hint="eastAsia"/>
          <w:color w:val="000000" w:themeColor="text1"/>
          <w:shd w:val="clear" w:color="auto" w:fill="FFFFFF"/>
        </w:rPr>
        <w:t xml:space="preserve">　　</w:t>
      </w:r>
      <w:bookmarkStart w:id="3" w:name="_Toc27493"/>
      <w:r>
        <w:rPr>
          <w:rStyle w:val="a8"/>
          <w:rFonts w:ascii="仿宋_GB2312" w:eastAsia="仿宋_GB2312" w:hAnsi="仿宋_GB2312" w:cs="仿宋_GB2312" w:hint="eastAsia"/>
          <w:color w:val="000000" w:themeColor="text1"/>
          <w:shd w:val="clear" w:color="auto" w:fill="FFFFFF"/>
        </w:rPr>
        <w:t>一、总体要求</w:t>
      </w:r>
      <w:bookmarkEnd w:id="3"/>
    </w:p>
    <w:p w14:paraId="1D398F13"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（一）指导思想</w:t>
      </w:r>
    </w:p>
    <w:p w14:paraId="4432928F"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以习近平新时代中国特色社会主义思想为指导，牢固树立新发展理念，服务建设现代化经济体系和更高质量更充分就业需要，扎根中国、放眼世界、面向未来，强力推进产教融合、校企合作，聚焦高端产业和产业高端，重点支持一批优质高职学校和专业群率先发展，引领职业教育服务国家战略、融入区域发展、促进产业升级，为建设教育强国、人才强国</w:t>
      </w:r>
      <w:proofErr w:type="gramStart"/>
      <w:r>
        <w:rPr>
          <w:rFonts w:ascii="仿宋_GB2312" w:eastAsia="仿宋_GB2312" w:hAnsi="仿宋_GB2312" w:cs="仿宋_GB2312" w:hint="eastAsia"/>
          <w:color w:val="000000" w:themeColor="text1"/>
          <w:shd w:val="clear" w:color="auto" w:fill="FFFFFF"/>
        </w:rPr>
        <w:t>作出</w:t>
      </w:r>
      <w:proofErr w:type="gramEnd"/>
      <w:r>
        <w:rPr>
          <w:rFonts w:ascii="仿宋_GB2312" w:eastAsia="仿宋_GB2312" w:hAnsi="仿宋_GB2312" w:cs="仿宋_GB2312" w:hint="eastAsia"/>
          <w:color w:val="000000" w:themeColor="text1"/>
          <w:shd w:val="clear" w:color="auto" w:fill="FFFFFF"/>
        </w:rPr>
        <w:t>重要贡献。</w:t>
      </w:r>
    </w:p>
    <w:p w14:paraId="632D5CCD"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（二）基本原则</w:t>
      </w:r>
    </w:p>
    <w:p w14:paraId="5E4E110B"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——坚持中国特色。扎根中国大地，全面贯彻党的教育方针，坚定社会主义办学方向，完善职业教育和培训体系，</w:t>
      </w:r>
      <w:proofErr w:type="gramStart"/>
      <w:r>
        <w:rPr>
          <w:rFonts w:ascii="仿宋_GB2312" w:eastAsia="仿宋_GB2312" w:hAnsi="仿宋_GB2312" w:cs="仿宋_GB2312" w:hint="eastAsia"/>
          <w:color w:val="000000" w:themeColor="text1"/>
          <w:shd w:val="clear" w:color="auto" w:fill="FFFFFF"/>
        </w:rPr>
        <w:t>健全德技并</w:t>
      </w:r>
      <w:proofErr w:type="gramEnd"/>
      <w:r>
        <w:rPr>
          <w:rFonts w:ascii="仿宋_GB2312" w:eastAsia="仿宋_GB2312" w:hAnsi="仿宋_GB2312" w:cs="仿宋_GB2312" w:hint="eastAsia"/>
          <w:color w:val="000000" w:themeColor="text1"/>
          <w:shd w:val="clear" w:color="auto" w:fill="FFFFFF"/>
        </w:rPr>
        <w:t>修、工学结合的育人机制，服务新时代经济高质量发展，为中国产业走向全球产业中高端提供高素质技术技能人才支撑。</w:t>
      </w:r>
    </w:p>
    <w:p w14:paraId="73F0B466"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坚持产教融合。创新高等职业教育与产业融合发展的运行模式，精准对接区域人才需求，提升高职学校服务产业转型升级的能力，推动高职学校和行业企业形成命运共同体，为加快建设现代产业体系，增强产业核心竞争力提供有力支撑。</w:t>
      </w:r>
    </w:p>
    <w:p w14:paraId="7445B259"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lastRenderedPageBreak/>
        <w:t xml:space="preserve">　　——坚持扶优扶强。质量为先、以点带面，兼顾区域和产业布局，支持基础条件优良、改革成效突出、办学特色鲜明的高职学校和专业群率先发展，积累可复制、可借鉴的改革经验和模式，发挥示范引领作用。</w:t>
      </w:r>
    </w:p>
    <w:p w14:paraId="30D805EE"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——坚持持续推进。按周期、分阶段推进建设，实行动态管理、过程监测、有进有出、优胜劣汰，完善持续支持高水平高职学校和专业群建设的机制，实现高质量发展。</w:t>
      </w:r>
    </w:p>
    <w:p w14:paraId="6A685034"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——坚持省级统筹。发挥地方支持职业教育改革发展的积极性和主动性，加大资金和政策保障力度。中央财政</w:t>
      </w:r>
      <w:proofErr w:type="gramStart"/>
      <w:r>
        <w:rPr>
          <w:rFonts w:ascii="仿宋_GB2312" w:eastAsia="仿宋_GB2312" w:hAnsi="仿宋_GB2312" w:cs="仿宋_GB2312" w:hint="eastAsia"/>
          <w:color w:val="000000" w:themeColor="text1"/>
          <w:shd w:val="clear" w:color="auto" w:fill="FFFFFF"/>
        </w:rPr>
        <w:t>以奖补的</w:t>
      </w:r>
      <w:proofErr w:type="gramEnd"/>
      <w:r>
        <w:rPr>
          <w:rFonts w:ascii="仿宋_GB2312" w:eastAsia="仿宋_GB2312" w:hAnsi="仿宋_GB2312" w:cs="仿宋_GB2312" w:hint="eastAsia"/>
          <w:color w:val="000000" w:themeColor="text1"/>
          <w:shd w:val="clear" w:color="auto" w:fill="FFFFFF"/>
        </w:rPr>
        <w:t>形式通过相关转移支付给予引导支持。多渠道扩大资源供给，构建政府行业企业学校协同推进职业教育发展新机制。</w:t>
      </w:r>
    </w:p>
    <w:p w14:paraId="3ED9C570"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（三）总体目标</w:t>
      </w:r>
    </w:p>
    <w:p w14:paraId="43783EC4"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围绕办好新时代职业教育的新要求，集中力量建设50所左右高水平高职学校和150个左右高水平专业群，打造技术技能人才培养高地和技术技能创新服务平台，支撑国家重点产业、区域支柱产业发展，引领新时代职业教育实现高质量发展。</w:t>
      </w:r>
    </w:p>
    <w:p w14:paraId="770CC050"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到2022年，列入计划的高职学校和专业群办学水平、服务能力、国际影响显著提升，为职业教育改革发展和培养千万计的高素质技术技能人才发挥示范引领作用，使职业教育成为支撑国家战略和地方经济社会发展的重要力量。形成一批有效支撑职业教育高质量发展的政策、制度、标准。</w:t>
      </w:r>
    </w:p>
    <w:p w14:paraId="3F3AB878"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到2035年，一批高职学校和专业</w:t>
      </w:r>
      <w:proofErr w:type="gramStart"/>
      <w:r>
        <w:rPr>
          <w:rFonts w:ascii="仿宋_GB2312" w:eastAsia="仿宋_GB2312" w:hAnsi="仿宋_GB2312" w:cs="仿宋_GB2312" w:hint="eastAsia"/>
          <w:color w:val="000000" w:themeColor="text1"/>
          <w:shd w:val="clear" w:color="auto" w:fill="FFFFFF"/>
        </w:rPr>
        <w:t>群达到</w:t>
      </w:r>
      <w:proofErr w:type="gramEnd"/>
      <w:r>
        <w:rPr>
          <w:rFonts w:ascii="仿宋_GB2312" w:eastAsia="仿宋_GB2312" w:hAnsi="仿宋_GB2312" w:cs="仿宋_GB2312" w:hint="eastAsia"/>
          <w:color w:val="000000" w:themeColor="text1"/>
          <w:shd w:val="clear" w:color="auto" w:fill="FFFFFF"/>
        </w:rPr>
        <w:t>国际先进水平，引领职业教育实现现代化，为促进经济社会发展和提高国家竞争力提供优质人才资源支撑。职业教育高质量发展的政策、制度、标准体系更加成熟完善，形成中国特色职业教育发展模式。</w:t>
      </w:r>
    </w:p>
    <w:p w14:paraId="4AC3B3BA" w14:textId="77777777" w:rsidR="008C53F2" w:rsidRDefault="008C53F2" w:rsidP="008C53F2">
      <w:pPr>
        <w:pStyle w:val="a7"/>
        <w:widowControl/>
        <w:shd w:val="clear" w:color="auto" w:fill="FFFFFF"/>
        <w:spacing w:beforeAutospacing="0" w:afterAutospacing="0" w:line="360" w:lineRule="auto"/>
        <w:outlineLvl w:val="0"/>
        <w:rPr>
          <w:rFonts w:ascii="仿宋_GB2312" w:eastAsia="仿宋_GB2312" w:hAnsi="仿宋_GB2312" w:cs="仿宋_GB2312"/>
          <w:color w:val="000000" w:themeColor="text1"/>
        </w:rPr>
      </w:pPr>
      <w:r>
        <w:rPr>
          <w:rStyle w:val="a8"/>
          <w:rFonts w:ascii="仿宋_GB2312" w:eastAsia="仿宋_GB2312" w:hAnsi="仿宋_GB2312" w:cs="仿宋_GB2312" w:hint="eastAsia"/>
          <w:color w:val="000000" w:themeColor="text1"/>
          <w:shd w:val="clear" w:color="auto" w:fill="FFFFFF"/>
        </w:rPr>
        <w:t xml:space="preserve">　　</w:t>
      </w:r>
      <w:bookmarkStart w:id="4" w:name="_Toc4573"/>
      <w:r>
        <w:rPr>
          <w:rStyle w:val="a8"/>
          <w:rFonts w:ascii="仿宋_GB2312" w:eastAsia="仿宋_GB2312" w:hAnsi="仿宋_GB2312" w:cs="仿宋_GB2312" w:hint="eastAsia"/>
          <w:color w:val="000000" w:themeColor="text1"/>
          <w:shd w:val="clear" w:color="auto" w:fill="FFFFFF"/>
        </w:rPr>
        <w:t>二、改革发展任务</w:t>
      </w:r>
      <w:bookmarkEnd w:id="4"/>
    </w:p>
    <w:p w14:paraId="50D2C222"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（四）加强党的建设</w:t>
      </w:r>
    </w:p>
    <w:p w14:paraId="406E6AD8"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深入推进习近平新时代中国特色社会主义思想进教材进课堂进头脑，大力开展理想信念教育和社会主义核心价值观教育，构建全员全过程全方位育人的思想政治工作格局，实现职业技能和职业精神培养高度融合。落实党委领导下的校长负责制，充分发挥党组织在学校的领导核心和政治核心作用，牢牢把握</w:t>
      </w:r>
      <w:r>
        <w:rPr>
          <w:rFonts w:ascii="仿宋_GB2312" w:eastAsia="仿宋_GB2312" w:hAnsi="仿宋_GB2312" w:cs="仿宋_GB2312" w:hint="eastAsia"/>
          <w:color w:val="000000" w:themeColor="text1"/>
          <w:shd w:val="clear" w:color="auto" w:fill="FFFFFF"/>
        </w:rPr>
        <w:lastRenderedPageBreak/>
        <w:t>意识形态主动权，引导广大师生树牢“四个意识”、坚定“四个自信”、坚决做到“两个维护”。加强基层党组织建设，将党的建设与学校事业发展同部署、同落实、同考评，有效发挥基层党组织战斗堡垒作用和共产党员先锋模范作用，带动学校工会、共青团等群团组织和学生会组织建设，为学校改革发展提供坚强组织保证。</w:t>
      </w:r>
    </w:p>
    <w:p w14:paraId="6705A7CC"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（五）打造技术技能人才培养高地</w:t>
      </w:r>
    </w:p>
    <w:p w14:paraId="5F033A50"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落实立德树人根本任务，将社会主义核心价值观教育贯穿技术技能人才培养全过程。坚持工学结合、知行合一，加强学生认知能力、合作能力、创新能力和职业能力培养。加强劳动教育，以劳树德、以劳增智、以劳强体、以劳育美。培育和传承工匠精神，引导学生养成严谨专注、敬业专业、精益求精和追求卓越的品质。深化复合型技术技能人才培养培训模式改革，率先开展“学历证书+若干职业技能等级证书”制度试点。在全面提高质量的基础上，着力培养一批产业急需、技艺高超的高素质技术技能人才。</w:t>
      </w:r>
    </w:p>
    <w:p w14:paraId="19E0FCE9"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（六）打造技术技能创新服务平台</w:t>
      </w:r>
    </w:p>
    <w:p w14:paraId="6753350F"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对接科技发展趋势，以技术技能积累为纽带，建设集人才培养、团队建设、技术服务于一体，资源共享、机制灵活、产出高效的人才培养与技术创新平台，促进创新成果与核心技术产业化，重点服务企业特别是中小</w:t>
      </w:r>
      <w:proofErr w:type="gramStart"/>
      <w:r>
        <w:rPr>
          <w:rFonts w:ascii="仿宋_GB2312" w:eastAsia="仿宋_GB2312" w:hAnsi="仿宋_GB2312" w:cs="仿宋_GB2312" w:hint="eastAsia"/>
          <w:color w:val="000000" w:themeColor="text1"/>
          <w:shd w:val="clear" w:color="auto" w:fill="FFFFFF"/>
        </w:rPr>
        <w:t>微企业</w:t>
      </w:r>
      <w:proofErr w:type="gramEnd"/>
      <w:r>
        <w:rPr>
          <w:rFonts w:ascii="仿宋_GB2312" w:eastAsia="仿宋_GB2312" w:hAnsi="仿宋_GB2312" w:cs="仿宋_GB2312" w:hint="eastAsia"/>
          <w:color w:val="000000" w:themeColor="text1"/>
          <w:shd w:val="clear" w:color="auto" w:fill="FFFFFF"/>
        </w:rPr>
        <w:t>的技术研发和产品升级。加强与地方政府、产业园区、行业深度合作，建设兼具科技攻关、智库咨询、英才培养、创新创业功能，体现学校特色的产教融合平台，服务区域发展和产业转型升级。进一步提高专业群集聚度和配套供给服务能力，与行业领先企业深度合作，建设兼具产品研发、工艺开发、技术推广、大师培育功能的技术技能平台，服务重点行业和支柱产业发展。</w:t>
      </w:r>
    </w:p>
    <w:p w14:paraId="7E27660C"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（七）打造高水平专业群</w:t>
      </w:r>
    </w:p>
    <w:p w14:paraId="4882E640"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面向区域或行业重点产业，依托优势特色专业，健全对接产业、动态调整、自我完善的专业群建设发展机制，促进专业资源整合和结构优化，发挥专业群的集聚效应和服务功能，实现人才培养供给侧和产业需求侧结构要素全方位融合。校企共同研制科学规范、国际可借鉴的人才培养方案和课程标准，将新技术、新工艺、新规范等产业先进元素纳入教学标准和教学内容，建设开放共享的专业群课程教学资源和实践教学基地。组建高水平、结构化教师教学创</w:t>
      </w:r>
      <w:r>
        <w:rPr>
          <w:rFonts w:ascii="仿宋_GB2312" w:eastAsia="仿宋_GB2312" w:hAnsi="仿宋_GB2312" w:cs="仿宋_GB2312" w:hint="eastAsia"/>
          <w:color w:val="000000" w:themeColor="text1"/>
          <w:shd w:val="clear" w:color="auto" w:fill="FFFFFF"/>
        </w:rPr>
        <w:lastRenderedPageBreak/>
        <w:t>新团队，探索教师分工协作的模块化教学模式，深化教材与教法改革，推动课堂革命。建立健全多方协同的专业群可持续发展保障机制。</w:t>
      </w:r>
    </w:p>
    <w:p w14:paraId="60C803E2"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（八）打造高水平双师队伍</w:t>
      </w:r>
    </w:p>
    <w:p w14:paraId="7449DEBF"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以“四有”标准打造数量充足、专兼结合、结构合理的高水平双师队伍。培育引进一批行业有权威、国际有影响的专业群建设带头人，着力培养一批能够改进企业产品工艺、解决生产技术难题的骨干教师，合力培育一批具有绝技绝艺的技术技能大师。聘请行业企业领军人才、大师名匠兼职任教。建立</w:t>
      </w:r>
      <w:proofErr w:type="gramStart"/>
      <w:r>
        <w:rPr>
          <w:rFonts w:ascii="仿宋_GB2312" w:eastAsia="仿宋_GB2312" w:hAnsi="仿宋_GB2312" w:cs="仿宋_GB2312" w:hint="eastAsia"/>
          <w:color w:val="000000" w:themeColor="text1"/>
          <w:shd w:val="clear" w:color="auto" w:fill="FFFFFF"/>
        </w:rPr>
        <w:t>健全教</w:t>
      </w:r>
      <w:proofErr w:type="gramEnd"/>
      <w:r>
        <w:rPr>
          <w:rFonts w:ascii="仿宋_GB2312" w:eastAsia="仿宋_GB2312" w:hAnsi="仿宋_GB2312" w:cs="仿宋_GB2312" w:hint="eastAsia"/>
          <w:color w:val="000000" w:themeColor="text1"/>
          <w:shd w:val="clear" w:color="auto" w:fill="FFFFFF"/>
        </w:rPr>
        <w:t>师职前培养、入职培训和在职研修体系。建设教师发展中心，提升教师教学和科研能力，促进教师职业发展。创新教师评价机制，建立以业绩贡献和能力水平为导向、以目标管理和目标考核为重点的绩效工资动态调整机制，实现多劳多得、优绩优酬。</w:t>
      </w:r>
    </w:p>
    <w:p w14:paraId="50F349EF"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（九）提升校企合作水平</w:t>
      </w:r>
    </w:p>
    <w:p w14:paraId="20683C1B"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与行业领先企业在人才培养、技术创新、社会服务、就业创业、文化传承等方面深度合作，形成校</w:t>
      </w:r>
      <w:proofErr w:type="gramStart"/>
      <w:r>
        <w:rPr>
          <w:rFonts w:ascii="仿宋_GB2312" w:eastAsia="仿宋_GB2312" w:hAnsi="仿宋_GB2312" w:cs="仿宋_GB2312" w:hint="eastAsia"/>
          <w:color w:val="000000" w:themeColor="text1"/>
          <w:shd w:val="clear" w:color="auto" w:fill="FFFFFF"/>
        </w:rPr>
        <w:t>企命运</w:t>
      </w:r>
      <w:proofErr w:type="gramEnd"/>
      <w:r>
        <w:rPr>
          <w:rFonts w:ascii="仿宋_GB2312" w:eastAsia="仿宋_GB2312" w:hAnsi="仿宋_GB2312" w:cs="仿宋_GB2312" w:hint="eastAsia"/>
          <w:color w:val="000000" w:themeColor="text1"/>
          <w:shd w:val="clear" w:color="auto" w:fill="FFFFFF"/>
        </w:rPr>
        <w:t>共同体。把握全球产业发展、国内产业升级的新机遇，主动参与供需对接和流程再造，推动专业建设与产业发展相适应，实质推进协同育人。施行校企联合培养、</w:t>
      </w:r>
      <w:proofErr w:type="gramStart"/>
      <w:r>
        <w:rPr>
          <w:rFonts w:ascii="仿宋_GB2312" w:eastAsia="仿宋_GB2312" w:hAnsi="仿宋_GB2312" w:cs="仿宋_GB2312" w:hint="eastAsia"/>
          <w:color w:val="000000" w:themeColor="text1"/>
          <w:shd w:val="clear" w:color="auto" w:fill="FFFFFF"/>
        </w:rPr>
        <w:t>双主体</w:t>
      </w:r>
      <w:proofErr w:type="gramEnd"/>
      <w:r>
        <w:rPr>
          <w:rFonts w:ascii="仿宋_GB2312" w:eastAsia="仿宋_GB2312" w:hAnsi="仿宋_GB2312" w:cs="仿宋_GB2312" w:hint="eastAsia"/>
          <w:color w:val="000000" w:themeColor="text1"/>
          <w:shd w:val="clear" w:color="auto" w:fill="FFFFFF"/>
        </w:rPr>
        <w:t>育人的中国特色现代学徒制。推行面向企业真实生产环境的任务式培养模式。牵头组建职业教育集团，推进实体化运作，实现资源共建共享。吸引企业联合建设产业学院和企业工作室、实验室、创新基地、实践基地。</w:t>
      </w:r>
    </w:p>
    <w:p w14:paraId="59D688F6"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（十）提升服务发展水平</w:t>
      </w:r>
    </w:p>
    <w:p w14:paraId="16512534"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培养适应高端产业和产业高端需要的高素质技术技能人才，服务中国产业走向全球产业中高端。以应用技术解决生产生活中的实际问题，切实提高生产效率、产品质量和服务品质。加强新产品开发和技术成果的推广转化，推动中小企业的技术研发和产品升级，促进民族传统工艺、民间技艺传承创新。面向脱贫攻坚主战场，积极吸引贫困地区学生到“双高计划”学校就学。服务乡村振兴战略，广泛开展面向农业农村的职业教育和培训。面向区域经济社会发展急需紧缺领域，大力开展高技能人才培训。积极主动开展职工继续教育，拓展社区教育和终身学习服务。</w:t>
      </w:r>
    </w:p>
    <w:p w14:paraId="420CFB94"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（十一）提升学校治理水平</w:t>
      </w:r>
    </w:p>
    <w:p w14:paraId="071C45BE"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lastRenderedPageBreak/>
        <w:t xml:space="preserve">　　健全内部治理体系，完善以章程为核心的现代职业学校制度体系，形成学校自主管理、自我约束的体制机制，推进治理能力现代化。健全学校、行业、企业、社区等共同参与的学校理事会或董事会，发挥咨询、协商、议事和监督作用。设立校级学术委员会，统筹行使学术事务的决策、审议、评定和咨询等职权。设立校级专业建设委员会和教材选用委员会，指导和促进专业建设和教学改革。发挥教职工代表大会作用，审议学校重大问题。优化内部治理结构，扩大二级院系管理自主权，发展跨专业教学组织。</w:t>
      </w:r>
    </w:p>
    <w:p w14:paraId="62AC4FDB"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（十二）提升信息化水平</w:t>
      </w:r>
    </w:p>
    <w:p w14:paraId="0780697E"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加快智慧校园建设，促进信息技术和智能技术深度融入教育教学和管理服务全过程，改进教学、优化管理、提升绩效。消除信息孤岛，保证信息安全，综合运用大数据、人工智能等手段推进学校管理方式变革，提升管理效能和水平。以“信息技术+”升级传统专业，及时发展数字经济催生的新兴专业。适应“互联网+职业教育”需求，推进数字资源、优秀师资、教育数据共建共享，助力教育服务供给模式升级。提升师生信息素养，建设智慧课堂和虚拟工厂，广泛应用线上线下混合教学，促进自主、泛在、个性化学习。</w:t>
      </w:r>
    </w:p>
    <w:p w14:paraId="645BAD96"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（十三）提升国际化水平</w:t>
      </w:r>
    </w:p>
    <w:p w14:paraId="2C1F30C8"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加强与职业教育发达国家的交流合作，引进优质职业教育资源，参与制订职业教育国际标准。开发国际通用的专业标准和课程体系，推出一批具有国际影响的高质量专业标准、课程标准、教学资源，打造中国职业教育国际品牌。积极参与“一带一路”建设和国际产能合作，培养国际化技术技能人才，促进中外人文交流。探索援助发展中国家职业教育的渠道和模式。开展国际职业教育服务，承接“走出去”中资企业海外员工教育培训，建设一批鲁班工坊，推动技术技能人才本土化。</w:t>
      </w:r>
    </w:p>
    <w:p w14:paraId="439F219A" w14:textId="77777777" w:rsidR="008C53F2" w:rsidRDefault="008C53F2" w:rsidP="008C53F2">
      <w:pPr>
        <w:pStyle w:val="a7"/>
        <w:widowControl/>
        <w:shd w:val="clear" w:color="auto" w:fill="FFFFFF"/>
        <w:spacing w:beforeAutospacing="0" w:afterAutospacing="0" w:line="360" w:lineRule="auto"/>
        <w:outlineLvl w:val="0"/>
        <w:rPr>
          <w:rFonts w:ascii="仿宋_GB2312" w:eastAsia="仿宋_GB2312" w:hAnsi="仿宋_GB2312" w:cs="仿宋_GB2312"/>
          <w:color w:val="000000" w:themeColor="text1"/>
        </w:rPr>
      </w:pPr>
      <w:r>
        <w:rPr>
          <w:rStyle w:val="a8"/>
          <w:rFonts w:ascii="仿宋_GB2312" w:eastAsia="仿宋_GB2312" w:hAnsi="仿宋_GB2312" w:cs="仿宋_GB2312" w:hint="eastAsia"/>
          <w:color w:val="000000" w:themeColor="text1"/>
          <w:shd w:val="clear" w:color="auto" w:fill="FFFFFF"/>
        </w:rPr>
        <w:t xml:space="preserve">　　</w:t>
      </w:r>
      <w:bookmarkStart w:id="5" w:name="_Toc15422"/>
      <w:r>
        <w:rPr>
          <w:rStyle w:val="a8"/>
          <w:rFonts w:ascii="仿宋_GB2312" w:eastAsia="仿宋_GB2312" w:hAnsi="仿宋_GB2312" w:cs="仿宋_GB2312" w:hint="eastAsia"/>
          <w:color w:val="000000" w:themeColor="text1"/>
          <w:shd w:val="clear" w:color="auto" w:fill="FFFFFF"/>
        </w:rPr>
        <w:t>三、组织实施</w:t>
      </w:r>
      <w:bookmarkEnd w:id="5"/>
    </w:p>
    <w:p w14:paraId="4AD8EC95"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（十四）建立协同推进机制</w:t>
      </w:r>
    </w:p>
    <w:p w14:paraId="7EF8EF96"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国家有关部门负责宏观布局、统筹协调、经费管理等顶层设计，围绕经济社会发展和国家战略需要，适时调整建设重点，成立项目建设咨询专家委员会，为重大政策、总体方案、审核立项、监督评价等提供咨询和支撑。各地要加强政策支持和经费保障，动员各方力量支持项目建设，对接区域经济社会发</w:t>
      </w:r>
      <w:r>
        <w:rPr>
          <w:rFonts w:ascii="仿宋_GB2312" w:eastAsia="仿宋_GB2312" w:hAnsi="仿宋_GB2312" w:cs="仿宋_GB2312" w:hint="eastAsia"/>
          <w:color w:val="000000" w:themeColor="text1"/>
          <w:shd w:val="clear" w:color="auto" w:fill="FFFFFF"/>
        </w:rPr>
        <w:lastRenderedPageBreak/>
        <w:t>展需求，构建以“双高计划”学校为引领，区域内高职学校协调发展的格局。“双高计划”学校要深化改革创新，聚焦建设任务，科学编制建设方案和任务书，健全责任机制，扎实推进建设，确保工作成效。</w:t>
      </w:r>
    </w:p>
    <w:p w14:paraId="2F0C3711"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（十五）加强项目实施管理</w:t>
      </w:r>
    </w:p>
    <w:p w14:paraId="02A95E79"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双高计划”每五年一个支持周期，2019年启动第一轮建设。制定项目遴选管理办法，明确遴选条件和程序，公开申请、公平竞争、公正认定。项目遴选坚持质量为先、改革导向，以学校、专业的客观发展水平为基础，对职业教育发展环境好、重点工作推进有力、改革成效明显的省（区、市）予以倾斜支持。制定项目绩效评价办法，建立信息采集与绩效管理系统，实行年度评价项目建设绩效，中期调整项目经费支持额度；依据周期绩效评价结果，调整项目建设单位。发挥第三方评价作用，定期跟踪评价。建立信息公开公示网络平台，接受社会监督。</w:t>
      </w:r>
    </w:p>
    <w:p w14:paraId="3699EC86"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（十六）健全多元投入机制</w:t>
      </w:r>
    </w:p>
    <w:p w14:paraId="4A139CBC"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各地新增教育经费向职业教育倾斜，在完善高职生均拨款制度、逐步提高生均拨款水平的基础上，对“双高计划”学校给予重点支持，中央财政通过现代职业教育质量提升计划专项资金对“双高计划”</w:t>
      </w:r>
      <w:proofErr w:type="gramStart"/>
      <w:r>
        <w:rPr>
          <w:rFonts w:ascii="仿宋_GB2312" w:eastAsia="仿宋_GB2312" w:hAnsi="仿宋_GB2312" w:cs="仿宋_GB2312" w:hint="eastAsia"/>
          <w:color w:val="000000" w:themeColor="text1"/>
          <w:shd w:val="clear" w:color="auto" w:fill="FFFFFF"/>
        </w:rPr>
        <w:t>给予奖补支持</w:t>
      </w:r>
      <w:proofErr w:type="gramEnd"/>
      <w:r>
        <w:rPr>
          <w:rFonts w:ascii="仿宋_GB2312" w:eastAsia="仿宋_GB2312" w:hAnsi="仿宋_GB2312" w:cs="仿宋_GB2312" w:hint="eastAsia"/>
          <w:color w:val="000000" w:themeColor="text1"/>
          <w:shd w:val="clear" w:color="auto" w:fill="FFFFFF"/>
        </w:rPr>
        <w:t>，发挥引导作用。有关部门和行业企业以共建、</w:t>
      </w:r>
      <w:proofErr w:type="gramStart"/>
      <w:r>
        <w:rPr>
          <w:rFonts w:ascii="仿宋_GB2312" w:eastAsia="仿宋_GB2312" w:hAnsi="仿宋_GB2312" w:cs="仿宋_GB2312" w:hint="eastAsia"/>
          <w:color w:val="000000" w:themeColor="text1"/>
          <w:shd w:val="clear" w:color="auto" w:fill="FFFFFF"/>
        </w:rPr>
        <w:t>共培等</w:t>
      </w:r>
      <w:proofErr w:type="gramEnd"/>
      <w:r>
        <w:rPr>
          <w:rFonts w:ascii="仿宋_GB2312" w:eastAsia="仿宋_GB2312" w:hAnsi="仿宋_GB2312" w:cs="仿宋_GB2312" w:hint="eastAsia"/>
          <w:color w:val="000000" w:themeColor="text1"/>
          <w:shd w:val="clear" w:color="auto" w:fill="FFFFFF"/>
        </w:rPr>
        <w:t>方式积极参与项目建设。项目学校以服务求发展，积极筹集社会资源，增强自我造血功能。</w:t>
      </w:r>
    </w:p>
    <w:p w14:paraId="6D70B0C9"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（十七）优化改革发展环境</w:t>
      </w:r>
    </w:p>
    <w:p w14:paraId="173AFCB8" w14:textId="77777777" w:rsidR="008C53F2" w:rsidRDefault="008C53F2" w:rsidP="008C53F2">
      <w:pPr>
        <w:pStyle w:val="a7"/>
        <w:widowControl/>
        <w:shd w:val="clear" w:color="auto" w:fill="FFFFFF"/>
        <w:spacing w:beforeAutospacing="0" w:afterAutospacing="0"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 xml:space="preserve">　　各地要结合区域功能、产业特点探索差别化的职业教育发展路径，建立</w:t>
      </w:r>
      <w:proofErr w:type="gramStart"/>
      <w:r>
        <w:rPr>
          <w:rFonts w:ascii="仿宋_GB2312" w:eastAsia="仿宋_GB2312" w:hAnsi="仿宋_GB2312" w:cs="仿宋_GB2312" w:hint="eastAsia"/>
          <w:color w:val="000000" w:themeColor="text1"/>
          <w:shd w:val="clear" w:color="auto" w:fill="FFFFFF"/>
        </w:rPr>
        <w:t>健全产</w:t>
      </w:r>
      <w:proofErr w:type="gramEnd"/>
      <w:r>
        <w:rPr>
          <w:rFonts w:ascii="仿宋_GB2312" w:eastAsia="仿宋_GB2312" w:hAnsi="仿宋_GB2312" w:cs="仿宋_GB2312" w:hint="eastAsia"/>
          <w:color w:val="000000" w:themeColor="text1"/>
          <w:shd w:val="clear" w:color="auto" w:fill="FFFFFF"/>
        </w:rPr>
        <w:t>教对接机制，促进人才培养与产业需求有机衔接。加大“双高计划”学校的支持力度，在领导班子、核定教师编制、高级教师岗位比例、绩效工资总量等方面按规定给予政策倾斜。深入推进“放管服”改革，在专业设置、内设机构及岗位设置、进人用人、经费使用管理上进一步扩大学校办学自主权。建立健全改革创新容错纠错机制，鼓励“双高计划”学校大胆试、大胆闯，激发和保护干部队伍敢于担当、干事创业的积极性、主动性、创造性。</w:t>
      </w:r>
    </w:p>
    <w:p w14:paraId="4CFDCF52" w14:textId="77777777" w:rsidR="008C53F2" w:rsidRDefault="008C53F2" w:rsidP="008C53F2">
      <w:pPr>
        <w:pStyle w:val="a7"/>
        <w:widowControl/>
        <w:shd w:val="clear" w:color="auto" w:fill="FFFFFF"/>
        <w:spacing w:beforeAutospacing="0" w:afterAutospacing="0"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教育部 财政部</w:t>
      </w:r>
    </w:p>
    <w:p w14:paraId="40076AA2" w14:textId="77777777" w:rsidR="008C53F2" w:rsidRDefault="008C53F2" w:rsidP="008C53F2">
      <w:pPr>
        <w:pStyle w:val="a7"/>
        <w:widowControl/>
        <w:shd w:val="clear" w:color="auto" w:fill="FFFFFF"/>
        <w:spacing w:beforeAutospacing="0" w:afterAutospacing="0"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hd w:val="clear" w:color="auto" w:fill="FFFFFF"/>
        </w:rPr>
        <w:t>2019年3月29日</w:t>
      </w:r>
    </w:p>
    <w:p w14:paraId="0909808D" w14:textId="77777777" w:rsidR="006B2E8E" w:rsidRDefault="006B2E8E"/>
    <w:sectPr w:rsidR="006B2E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E1ADF" w14:textId="77777777" w:rsidR="0036411E" w:rsidRDefault="0036411E" w:rsidP="008C53F2">
      <w:r>
        <w:separator/>
      </w:r>
    </w:p>
  </w:endnote>
  <w:endnote w:type="continuationSeparator" w:id="0">
    <w:p w14:paraId="6C1B44D3" w14:textId="77777777" w:rsidR="0036411E" w:rsidRDefault="0036411E" w:rsidP="008C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48FE9" w14:textId="77777777" w:rsidR="0036411E" w:rsidRDefault="0036411E" w:rsidP="008C53F2">
      <w:r>
        <w:separator/>
      </w:r>
    </w:p>
  </w:footnote>
  <w:footnote w:type="continuationSeparator" w:id="0">
    <w:p w14:paraId="78A269AE" w14:textId="77777777" w:rsidR="0036411E" w:rsidRDefault="0036411E" w:rsidP="008C5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CE"/>
    <w:rsid w:val="0036411E"/>
    <w:rsid w:val="006B2E8E"/>
    <w:rsid w:val="008C53F2"/>
    <w:rsid w:val="009415CE"/>
    <w:rsid w:val="00AF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0BD64A-E110-4DB1-9ABA-7C73B0E5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53F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53F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8C53F2"/>
    <w:rPr>
      <w:kern w:val="2"/>
      <w:sz w:val="18"/>
      <w:szCs w:val="18"/>
    </w:rPr>
  </w:style>
  <w:style w:type="paragraph" w:styleId="a5">
    <w:name w:val="footer"/>
    <w:basedOn w:val="a"/>
    <w:link w:val="a6"/>
    <w:rsid w:val="008C53F2"/>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8C53F2"/>
    <w:rPr>
      <w:kern w:val="2"/>
      <w:sz w:val="18"/>
      <w:szCs w:val="18"/>
    </w:rPr>
  </w:style>
  <w:style w:type="paragraph" w:styleId="a7">
    <w:name w:val="Normal (Web)"/>
    <w:basedOn w:val="a"/>
    <w:rsid w:val="008C53F2"/>
    <w:pPr>
      <w:spacing w:beforeAutospacing="1" w:afterAutospacing="1"/>
      <w:jc w:val="left"/>
    </w:pPr>
    <w:rPr>
      <w:rFonts w:cs="Times New Roman"/>
      <w:kern w:val="0"/>
      <w:sz w:val="24"/>
    </w:rPr>
  </w:style>
  <w:style w:type="character" w:styleId="a8">
    <w:name w:val="Strong"/>
    <w:basedOn w:val="a0"/>
    <w:qFormat/>
    <w:rsid w:val="008C53F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2019-11-19T06:49:00Z</dcterms:created>
  <dcterms:modified xsi:type="dcterms:W3CDTF">2019-11-19T06:50:00Z</dcterms:modified>
</cp:coreProperties>
</file>